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УЧИТЕСЬ ГОВОРИТЬ СО СВОИМИ ДЕТЬМИ 👍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Шепот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Еще во время работы в школе я дала себе слово не повышать голос на учеников и вообще на кого-либо. 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Может быть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Это лучше , чем подливать масло в огонь с помощью бесконечных «НЕТов». Если дети спрашивают: «А мы пойдем сейчас на улицу?», я спокойно сообщаю: «Может 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Прости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Стоп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пазл/постройте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Глазки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Учимся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осуждающее смотрят на нас вместе с ребенком. В конце концов, мы все учимся, включая и тех, кто сверлит нас взглядом.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Ты можешь!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Будьте!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трехлетний сын, задавая уже сто первый вопрос, понял, что я отвечаю машинально «да-нет» (силы после рабочего дня на исходе), а разговор мне все-таки хотелось поддержать. В итоге я услышала настойчивое: «Ну, мама, говори! Ты не говоришь!» Дети сразу чувствуют, насколько мы погружены в разговор с ними.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Всегда!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сына и говорю ему: «Мама тебя очень любит и всегда будет любить, что бы ни произошло». Детям очень важно знать и слышать, что наша любовь к ним безоговорочна и безусловна. Постоянна. Нестираема. Всегда!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Смейтесь. 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Правда в том, что эти 10 слов помогают не только родителям, так что будьте сильнее, приобщайтесь к родительскому лексикону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