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Не будьте слишком требовательны к ребенку.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Ребенок имеет право на ошибку, ведь ошибаться свойственно всем людям, в том числе и взрослым.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Следите, чтобы нагрузка не была для ребенка чрезмерной.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 Если вы видите, что у ребенка есть проблемы, то не бойтесь обращаться за помощью к специалистам: логопеду, психологу и т. д.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7. Питание должно быть сбалансированным, не рекомендуются перекусы.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дошкольном возрасте может прилюдно устроить скандал в магазине, если вы ему что-то не покупаете, если он агрессивно реагирует на свой проигрыш игре и т. п.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«нехочухи».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15. Обратите внимание, знает и использует ли ваш ребенок «волшебные» слова: здравствуйте, до свидания, извините, спасибо, пожалуйста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матерится, дерётся, задирается на других детей.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