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BCBF" w14:textId="77777777" w:rsidR="00814FE3" w:rsidRDefault="00814FE3" w:rsidP="00814FE3">
      <w:pPr>
        <w:jc w:val="center"/>
        <w:rPr>
          <w:vanish/>
          <w:sz w:val="18"/>
          <w:szCs w:val="18"/>
        </w:rPr>
        <w:sectPr w:rsidR="00814FE3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bookmarkStart w:id="0" w:name="_GoBack"/>
      <w:bookmarkEnd w:id="0"/>
      <w:r>
        <w:rPr>
          <w:vanish/>
          <w:sz w:val="18"/>
          <w:szCs w:val="18"/>
        </w:rPr>
        <w:t>Документ составлен по состоянию на 30 августа 2018 года</w:t>
      </w:r>
    </w:p>
    <w:p w14:paraId="284ABC50" w14:textId="77777777" w:rsidR="00814FE3" w:rsidRDefault="00814FE3" w:rsidP="00814FE3">
      <w:pPr>
        <w:tabs>
          <w:tab w:val="left" w:pos="709"/>
        </w:tabs>
        <w:spacing w:line="276" w:lineRule="auto"/>
        <w:jc w:val="right"/>
        <w:sectPr w:rsidR="00814FE3">
          <w:headerReference w:type="default" r:id="rId5"/>
          <w:pgSz w:w="11906" w:h="16838"/>
          <w:pgMar w:top="1134" w:right="567" w:bottom="1134" w:left="1134" w:header="709" w:footer="0" w:gutter="0"/>
          <w:cols w:space="720"/>
          <w:formProt w:val="0"/>
          <w:docGrid w:linePitch="360"/>
        </w:sectPr>
      </w:pPr>
      <w:r>
        <w:rPr>
          <w:sz w:val="16"/>
          <w:szCs w:val="16"/>
        </w:rPr>
        <w:t>Приложение 3</w:t>
      </w:r>
    </w:p>
    <w:p w14:paraId="56270322" w14:textId="77777777" w:rsidR="00814FE3" w:rsidRDefault="00814FE3" w:rsidP="00814FE3">
      <w:pPr>
        <w:tabs>
          <w:tab w:val="left" w:pos="709"/>
        </w:tabs>
        <w:spacing w:line="276" w:lineRule="auto"/>
        <w:jc w:val="right"/>
      </w:pPr>
      <w:r>
        <w:rPr>
          <w:sz w:val="16"/>
          <w:szCs w:val="16"/>
        </w:rPr>
        <w:lastRenderedPageBreak/>
        <w:t xml:space="preserve">к </w:t>
      </w:r>
      <w:r>
        <w:rPr>
          <w:rFonts w:eastAsia="Times New Roman"/>
          <w:color w:val="000000" w:themeColor="text1"/>
          <w:sz w:val="16"/>
          <w:szCs w:val="16"/>
          <w:lang w:eastAsia="en-US"/>
        </w:rPr>
        <w:t>Положению</w:t>
      </w:r>
    </w:p>
    <w:p w14:paraId="31B0006D" w14:textId="77777777" w:rsidR="00814FE3" w:rsidRDefault="00814FE3" w:rsidP="00814FE3">
      <w:pPr>
        <w:tabs>
          <w:tab w:val="left" w:pos="709"/>
        </w:tabs>
        <w:spacing w:line="276" w:lineRule="auto"/>
        <w:jc w:val="right"/>
      </w:pPr>
      <w:bookmarkStart w:id="1" w:name="_Приложение_3"/>
      <w:bookmarkEnd w:id="1"/>
      <w:r>
        <w:rPr>
          <w:color w:val="000000" w:themeColor="text1"/>
          <w:sz w:val="16"/>
          <w:szCs w:val="16"/>
        </w:rPr>
        <w:t xml:space="preserve"> о порядке оказания платных образовательных услуг и их целевому расходованию</w:t>
      </w:r>
    </w:p>
    <w:p w14:paraId="480D1D9B" w14:textId="77777777" w:rsidR="00814FE3" w:rsidRDefault="00814FE3" w:rsidP="00814FE3">
      <w:pPr>
        <w:tabs>
          <w:tab w:val="left" w:pos="709"/>
        </w:tabs>
        <w:spacing w:line="276" w:lineRule="auto"/>
        <w:jc w:val="center"/>
        <w:rPr>
          <w:b/>
        </w:rPr>
      </w:pPr>
    </w:p>
    <w:p w14:paraId="3A358C24" w14:textId="77777777" w:rsidR="00814FE3" w:rsidRDefault="00814FE3" w:rsidP="00814FE3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Основания и порядок снижения стоимости платных образовательных услуг</w:t>
      </w:r>
    </w:p>
    <w:p w14:paraId="334E09D6" w14:textId="77777777" w:rsidR="00814FE3" w:rsidRDefault="00814FE3" w:rsidP="00814FE3">
      <w:pPr>
        <w:tabs>
          <w:tab w:val="left" w:pos="709"/>
        </w:tabs>
        <w:spacing w:line="276" w:lineRule="auto"/>
        <w:jc w:val="center"/>
        <w:rPr>
          <w:b/>
        </w:rPr>
      </w:pPr>
    </w:p>
    <w:p w14:paraId="53DC1887" w14:textId="77777777" w:rsidR="00814FE3" w:rsidRDefault="00814FE3" w:rsidP="00814FE3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локальный нормативный акт устанавливает основания снижения стоимости платных образовательных услуг, а также условия и порядок действий при ее снижении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муниципальном дошкольном образовательном учреждении «Детский сад № 167» </w:t>
      </w:r>
      <w:r>
        <w:rPr>
          <w:rFonts w:ascii="Times New Roman" w:hAnsi="Times New Roman"/>
          <w:sz w:val="24"/>
          <w:szCs w:val="24"/>
        </w:rPr>
        <w:t>(далее – учреждение).</w:t>
      </w:r>
    </w:p>
    <w:p w14:paraId="3DA5DF51" w14:textId="77777777" w:rsidR="00814FE3" w:rsidRDefault="00814FE3" w:rsidP="00814FE3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стоимости платных образовательных услуг (далее – снижение стоимости обучения) предоставляется следующим категориям граждан:</w:t>
      </w:r>
    </w:p>
    <w:p w14:paraId="1F74EBF6" w14:textId="77777777" w:rsidR="00814FE3" w:rsidRDefault="00814FE3" w:rsidP="00814FE3">
      <w:pPr>
        <w:tabs>
          <w:tab w:val="left" w:pos="709"/>
        </w:tabs>
        <w:spacing w:line="276" w:lineRule="auto"/>
        <w:jc w:val="both"/>
      </w:pPr>
      <w:r>
        <w:t>дети из малообеспеченных семей – до 15 процентов;</w:t>
      </w:r>
    </w:p>
    <w:p w14:paraId="638D056C" w14:textId="77777777" w:rsidR="00814FE3" w:rsidRDefault="00814FE3" w:rsidP="00814FE3">
      <w:pPr>
        <w:tabs>
          <w:tab w:val="left" w:pos="709"/>
        </w:tabs>
        <w:spacing w:line="276" w:lineRule="auto"/>
        <w:jc w:val="both"/>
      </w:pPr>
      <w:r>
        <w:t>дети сотрудников учреждения – до 10 процентов;</w:t>
      </w:r>
    </w:p>
    <w:p w14:paraId="3415DDE5" w14:textId="77777777" w:rsidR="00814FE3" w:rsidRDefault="00814FE3" w:rsidP="00814FE3">
      <w:pPr>
        <w:tabs>
          <w:tab w:val="left" w:pos="709"/>
        </w:tabs>
        <w:spacing w:line="276" w:lineRule="auto"/>
        <w:jc w:val="both"/>
      </w:pPr>
      <w:r>
        <w:t>При наличии двух и более оснований снижение стоимости обучения устанавливается по одному основанию, имеющему большее значение.</w:t>
      </w:r>
    </w:p>
    <w:p w14:paraId="45EE75FB" w14:textId="77777777" w:rsidR="00814FE3" w:rsidRDefault="00814FE3" w:rsidP="00814FE3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снижения стоимости обучения может выражаться в абсолютной величине (в рублях) или относительной величине (в процентах от стоимости обучения) и доводится до сведения граждан и юридических лиц на информационном стенде учреждения, а также на сайте учреждения.</w:t>
      </w:r>
    </w:p>
    <w:p w14:paraId="6830E537" w14:textId="77777777" w:rsidR="00814FE3" w:rsidRDefault="00814FE3" w:rsidP="00814FE3">
      <w:pPr>
        <w:tabs>
          <w:tab w:val="left" w:pos="709"/>
        </w:tabs>
        <w:spacing w:line="276" w:lineRule="auto"/>
        <w:jc w:val="both"/>
      </w:pPr>
      <w:r>
        <w:t>При указании размера снижения стоимости обучения в диапазоне значений (т.н. «вилка») решение о конкретном размере принимается заведующим учреждения.</w:t>
      </w:r>
    </w:p>
    <w:p w14:paraId="36D65050" w14:textId="77777777" w:rsidR="00814FE3" w:rsidRDefault="00814FE3" w:rsidP="00814FE3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стоимости обучения осуществляется на основании документов, подтверждающих принадлежность обучающегося или родителей (законных представителей) несовершеннолетних обучающихся к указанным категориям. Документ предъявляется при заключении договора об оказании платных образовательных услуг. В случае если основание для снижения стоимости обучения возникло в момент исполнения договора об оказании платных образовательных услуг, заказчику производится снижение стоимости обучения, начиная с месяца, следующего за месяцем обращения заказчика в учреждение.</w:t>
      </w:r>
    </w:p>
    <w:p w14:paraId="56D3E507" w14:textId="77777777" w:rsidR="00814FE3" w:rsidRDefault="00814FE3" w:rsidP="00814FE3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договора об оказании платных образовательных услуг снижение стоимости обучения осуществляется на весь период обучения или до срока, указанного в документе, дающего право на ее снижение.</w:t>
      </w:r>
    </w:p>
    <w:p w14:paraId="1A0620D3" w14:textId="77777777" w:rsidR="00814FE3" w:rsidRDefault="00814FE3" w:rsidP="00814FE3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учреждения на снижение стоимости обучения оформляется путем подписания договора об оказании услуг с указанием конкретной стоимости обучения.</w:t>
      </w:r>
    </w:p>
    <w:p w14:paraId="78260BFA" w14:textId="77777777" w:rsidR="00814FE3" w:rsidRDefault="00814FE3" w:rsidP="00814FE3">
      <w:pPr>
        <w:tabs>
          <w:tab w:val="left" w:pos="709"/>
        </w:tabs>
        <w:spacing w:line="276" w:lineRule="auto"/>
      </w:pPr>
    </w:p>
    <w:p w14:paraId="7115D218" w14:textId="77777777" w:rsidR="00F12C76" w:rsidRDefault="00F12C76" w:rsidP="006C0B77">
      <w:pPr>
        <w:ind w:firstLine="709"/>
        <w:jc w:val="both"/>
      </w:pPr>
    </w:p>
    <w:sectPr w:rsidR="00F12C76">
      <w:headerReference w:type="default" r:id="rId6"/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B411" w14:textId="77777777" w:rsidR="00483794" w:rsidRDefault="0000000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ED7D47A" wp14:editId="38FF4A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A6610A" w14:textId="77777777" w:rsidR="00483794" w:rsidRDefault="00000000">
                          <w:pPr>
                            <w:pStyle w:val="a5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ED7D47A" id="Врезка1" o:spid="_x0000_s1026" style="position:absolute;margin-left:0;margin-top:.05pt;width:1.25pt;height:13.7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dOwAEAAOkDAAAOAAAAZHJzL2Uyb0RvYy54bWysU9tu2zAMfR/QfxD0vijO0C0w4hTDihYD&#10;hq1Ytw+QZSkWoBsoNXb+fpTsON321KIvMkXxHJKH9O5mtIYcJUTtXUOr1ZoS6YTvtDs09Pevu/db&#10;SmLiruPGO9nQk4z0Zn/1bjeEWm58700ngSCJi/UQGtqnFGrGouil5XHlg3T4qDxYnvAKB9YBH5Dd&#10;GrZZrz+ywUMXwAsZI3pvp0e6L/xKSZF+KBVlIqahWFsqJ5SzzSfb73h9AB56LeYy+CuqsFw7TLpQ&#10;3fLEyRPo/6isFuCjV2klvGVeKS1k6QG7qdb/dPPY8yBLLyhODItM8e1oxffjY3gAlGEIsY5o5i5G&#10;BTZ/sT4yFrFOi1hyTESgs7quNqiowJfq04fttmjJLtgAMd1Lb0k2Ggo4iqIQP36LCfNh6Dkkp3L+&#10;ThtTxmHcXw4MzB52KbBY6WRkjjPup1REd6XO7IgCDu0XA2QaM+4hlnkediFDQA5UmPCF2BmS0bJs&#10;1wvxC6jk9y4teKudh7yOU59Td7nRNLbjPJ7Wd6cHIOarww3I23w24Gy0s1F0CJ+fEqpaxM5ME3zO&#10;gPtUZjDvfl7Y5/cSdflD938AAAD//wMAUEsDBBQABgAIAAAAIQByPmWw2QAAAAIBAAAPAAAAZHJz&#10;L2Rvd25yZXYueG1sTI9BT8MwDIXvSPyHyEhcEEupxBil6YSQdkNC6zjAzWtMU2icqsnWwq/HO8HJ&#10;en7We5/L9ex7daQxdoEN3CwyUMRNsB23Bl53m+sVqJiQLfaBycA3RVhX52clFjZMvKVjnVolIRwL&#10;NOBSGgqtY+PIY1yEgVi8jzB6TCLHVtsRJwn3vc6zbKk9diwNDgd6ctR81QdvYPPy1hH/6O3V/WoK&#10;n03+XrvnwZjLi/nxAVSiOf0dwwlf0KESpn04sI2qNyCPpNNWiZffgtrLuFuCrkr9H736BQAA//8D&#10;AFBLAQItABQABgAIAAAAIQC2gziS/gAAAOEBAAATAAAAAAAAAAAAAAAAAAAAAABbQ29udGVudF9U&#10;eXBlc10ueG1sUEsBAi0AFAAGAAgAAAAhADj9If/WAAAAlAEAAAsAAAAAAAAAAAAAAAAALwEAAF9y&#10;ZWxzLy5yZWxzUEsBAi0AFAAGAAgAAAAhAKqzx07AAQAA6QMAAA4AAAAAAAAAAAAAAAAALgIAAGRy&#10;cy9lMm9Eb2MueG1sUEsBAi0AFAAGAAgAAAAhAHI+ZbDZAAAAAgEAAA8AAAAAAAAAAAAAAAAAGgQA&#10;AGRycy9kb3ducmV2LnhtbFBLBQYAAAAABAAEAPMAAAAgBQAAAAA=&#10;" filled="f" stroked="f">
              <v:textbox style="mso-fit-shape-to-text:t" inset="0,0,0,0">
                <w:txbxContent>
                  <w:p w14:paraId="66A6610A" w14:textId="77777777" w:rsidR="00483794" w:rsidRDefault="00000000">
                    <w:pPr>
                      <w:pStyle w:val="a5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>
                      <w:rPr>
                        <w:rStyle w:val="a3"/>
                        <w:color w:val="000000"/>
                      </w:rPr>
                      <w:t>2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8691" w14:textId="77777777" w:rsidR="00483794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B1F06"/>
    <w:multiLevelType w:val="multilevel"/>
    <w:tmpl w:val="D58E5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51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E3"/>
    <w:rsid w:val="006C0B77"/>
    <w:rsid w:val="00814FE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FFE8"/>
  <w15:chartTrackingRefBased/>
  <w15:docId w15:val="{FA9AA565-0387-4331-866E-BA6C768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E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qFormat/>
    <w:rsid w:val="00814FE3"/>
  </w:style>
  <w:style w:type="paragraph" w:styleId="a4">
    <w:name w:val="List Paragraph"/>
    <w:basedOn w:val="a"/>
    <w:uiPriority w:val="34"/>
    <w:qFormat/>
    <w:rsid w:val="00814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14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FE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2023-03-17T15:32:00Z</dcterms:created>
  <dcterms:modified xsi:type="dcterms:W3CDTF">2023-03-17T15:33:00Z</dcterms:modified>
</cp:coreProperties>
</file>